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p>
    <w:p>
      <w:pPr>
        <w:spacing w:beforeLines="100"/>
        <w:rPr>
          <w:rFonts w:hint="eastAsia" w:ascii="仿宋" w:hAnsi="仿宋" w:eastAsia="仿宋" w:cs="仿宋"/>
          <w:sz w:val="32"/>
          <w:szCs w:val="32"/>
          <w:lang w:val="en-US" w:eastAsia="zh-CN"/>
        </w:rPr>
      </w:pPr>
      <w:r>
        <w:rPr>
          <w:rFonts w:hint="eastAsia" w:ascii="仿宋" w:hAnsi="仿宋" w:eastAsia="仿宋" w:cs="仿宋"/>
          <w:sz w:val="32"/>
          <w:szCs w:val="32"/>
        </w:rPr>
        <w:t xml:space="preserve">                              武大土建函〔2017〕</w:t>
      </w:r>
      <w:r>
        <w:rPr>
          <w:rFonts w:hint="eastAsia" w:ascii="仿宋" w:hAnsi="仿宋" w:eastAsia="仿宋" w:cs="仿宋"/>
          <w:sz w:val="32"/>
          <w:szCs w:val="32"/>
          <w:lang w:val="en-US" w:eastAsia="zh-CN"/>
        </w:rPr>
        <w:t>15</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kern w:val="36"/>
          <w:sz w:val="44"/>
          <w:szCs w:val="44"/>
          <w:lang w:val="en-US" w:eastAsia="zh-CN" w:bidi="ar-SA"/>
        </w:rPr>
      </w:pPr>
      <w:r>
        <w:rPr>
          <w:rFonts w:hint="eastAsia" w:asciiTheme="majorEastAsia" w:hAnsiTheme="majorEastAsia" w:eastAsiaTheme="majorEastAsia" w:cstheme="majorEastAsia"/>
          <w:b/>
          <w:bCs/>
          <w:color w:val="000000"/>
          <w:kern w:val="36"/>
          <w:sz w:val="44"/>
          <w:szCs w:val="44"/>
          <w:lang w:val="en-US" w:eastAsia="zh-CN" w:bidi="ar-SA"/>
        </w:rPr>
        <w:t>土木建筑工程学院</w:t>
      </w:r>
    </w:p>
    <w:p>
      <w:pPr>
        <w:jc w:val="center"/>
        <w:rPr>
          <w:rFonts w:hint="eastAsia" w:asciiTheme="majorEastAsia" w:hAnsiTheme="majorEastAsia" w:eastAsiaTheme="majorEastAsia" w:cstheme="majorEastAsia"/>
          <w:b/>
          <w:bCs/>
          <w:color w:val="000000"/>
          <w:kern w:val="36"/>
          <w:sz w:val="44"/>
          <w:szCs w:val="44"/>
          <w:lang w:val="en-US" w:eastAsia="zh-CN" w:bidi="ar-SA"/>
        </w:rPr>
      </w:pPr>
      <w:r>
        <w:rPr>
          <w:rFonts w:hint="eastAsia" w:asciiTheme="majorEastAsia" w:hAnsiTheme="majorEastAsia" w:eastAsiaTheme="majorEastAsia" w:cstheme="majorEastAsia"/>
          <w:b/>
          <w:bCs/>
          <w:color w:val="000000"/>
          <w:kern w:val="36"/>
          <w:sz w:val="44"/>
          <w:szCs w:val="44"/>
          <w:lang w:val="en-US" w:eastAsia="zh-CN" w:bidi="ar-SA"/>
        </w:rPr>
        <w:t>研究生培养经费管理办法</w:t>
      </w:r>
    </w:p>
    <w:p>
      <w:pPr>
        <w:pStyle w:val="3"/>
        <w:spacing w:before="0" w:beforeAutospacing="0" w:after="0" w:afterAutospacing="0" w:line="440" w:lineRule="exact"/>
        <w:ind w:firstLine="480" w:firstLineChars="200"/>
        <w:rPr>
          <w:rFonts w:hint="eastAsia" w:ascii="Verdana" w:hAnsi="Verdana"/>
          <w:color w:val="000000"/>
          <w:shd w:val="clear" w:color="auto" w:fill="FFFFFF"/>
        </w:rPr>
      </w:pPr>
    </w:p>
    <w:p>
      <w:pPr>
        <w:pStyle w:val="3"/>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根据学校《关于规范研究生毕业论文评阅及答辩酬金开支的专题会议纪要》（2016第八十期）文件精神，为进一步加强学院研究生培养经费的管理，保障研究生培养经费的合理使用，规范研究生培养经费的使用程序，结合学院实际，现制定本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一、研究生培养经费的管理</w:t>
      </w:r>
    </w:p>
    <w:p>
      <w:pPr>
        <w:pStyle w:val="3"/>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研究生培养经费实行学校、学院和研究生导师三级管理，实行“专款专用，按年拨付，限期用完”的办法。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二、研究生培养经费的核拨标准</w:t>
      </w:r>
    </w:p>
    <w:tbl>
      <w:tblPr>
        <w:tblStyle w:val="5"/>
        <w:tblW w:w="8472" w:type="dxa"/>
        <w:tblInd w:w="0" w:type="dxa"/>
        <w:tblLayout w:type="fixed"/>
        <w:tblCellMar>
          <w:top w:w="0" w:type="dxa"/>
          <w:left w:w="108" w:type="dxa"/>
          <w:bottom w:w="0" w:type="dxa"/>
          <w:right w:w="108" w:type="dxa"/>
        </w:tblCellMar>
      </w:tblPr>
      <w:tblGrid>
        <w:gridCol w:w="2093"/>
        <w:gridCol w:w="1204"/>
        <w:gridCol w:w="1205"/>
        <w:gridCol w:w="1205"/>
        <w:gridCol w:w="1205"/>
        <w:gridCol w:w="1560"/>
      </w:tblGrid>
      <w:tr>
        <w:tblPrEx>
          <w:tblLayout w:type="fixed"/>
          <w:tblCellMar>
            <w:top w:w="0" w:type="dxa"/>
            <w:left w:w="108" w:type="dxa"/>
            <w:bottom w:w="0" w:type="dxa"/>
            <w:right w:w="108" w:type="dxa"/>
          </w:tblCellMar>
        </w:tblPrEx>
        <w:trPr>
          <w:cantSplit/>
          <w:trHeight w:val="20" w:hRule="atLeast"/>
        </w:trPr>
        <w:tc>
          <w:tcPr>
            <w:tcW w:w="2093"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pacing w:line="400" w:lineRule="exact"/>
              <w:rPr>
                <w:rFonts w:hint="eastAsia" w:ascii="宋体" w:hAnsi="宋体" w:cs="宋体"/>
                <w:kern w:val="0"/>
                <w:sz w:val="24"/>
              </w:rPr>
            </w:pPr>
            <w:r>
              <w:rPr>
                <w:rFonts w:hint="eastAsia" w:ascii="宋体" w:hAnsi="宋体" w:cs="宋体"/>
                <w:kern w:val="0"/>
                <w:sz w:val="24"/>
              </w:rPr>
              <w:t>　        元/人</w:t>
            </w:r>
          </w:p>
          <w:p>
            <w:pPr>
              <w:widowControl/>
              <w:spacing w:line="400" w:lineRule="exact"/>
              <w:rPr>
                <w:rFonts w:ascii="宋体" w:hAnsi="宋体" w:cs="宋体"/>
                <w:kern w:val="0"/>
                <w:sz w:val="24"/>
              </w:rPr>
            </w:pPr>
            <w:r>
              <w:rPr>
                <w:rFonts w:hint="eastAsia" w:ascii="宋体" w:hAnsi="宋体" w:cs="宋体"/>
                <w:kern w:val="0"/>
                <w:sz w:val="24"/>
              </w:rPr>
              <w:t>研究生种类</w:t>
            </w:r>
          </w:p>
        </w:tc>
        <w:tc>
          <w:tcPr>
            <w:tcW w:w="120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一年级</w:t>
            </w:r>
          </w:p>
        </w:tc>
        <w:tc>
          <w:tcPr>
            <w:tcW w:w="12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二年级</w:t>
            </w:r>
          </w:p>
        </w:tc>
        <w:tc>
          <w:tcPr>
            <w:tcW w:w="12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三年级</w:t>
            </w:r>
          </w:p>
        </w:tc>
        <w:tc>
          <w:tcPr>
            <w:tcW w:w="12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合计</w:t>
            </w:r>
          </w:p>
        </w:tc>
        <w:tc>
          <w:tcPr>
            <w:tcW w:w="1560" w:type="dxa"/>
            <w:tcBorders>
              <w:top w:val="single" w:color="auto" w:sz="4" w:space="0"/>
              <w:left w:val="nil"/>
              <w:bottom w:val="single" w:color="auto" w:sz="4" w:space="0"/>
              <w:right w:val="single" w:color="auto" w:sz="4" w:space="0"/>
            </w:tcBorders>
            <w:vAlign w:val="top"/>
          </w:tcPr>
          <w:p>
            <w:pPr>
              <w:widowControl/>
              <w:spacing w:line="400" w:lineRule="exact"/>
              <w:jc w:val="center"/>
              <w:rPr>
                <w:rFonts w:hint="eastAsia"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cantSplit/>
          <w:trHeight w:val="20" w:hRule="atLeast"/>
        </w:trPr>
        <w:tc>
          <w:tcPr>
            <w:tcW w:w="2093"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硕士（2年制）</w:t>
            </w:r>
          </w:p>
        </w:tc>
        <w:tc>
          <w:tcPr>
            <w:tcW w:w="120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1000</w:t>
            </w:r>
          </w:p>
        </w:tc>
        <w:tc>
          <w:tcPr>
            <w:tcW w:w="120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1000</w:t>
            </w:r>
          </w:p>
        </w:tc>
        <w:tc>
          <w:tcPr>
            <w:tcW w:w="120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p>
        </w:tc>
        <w:tc>
          <w:tcPr>
            <w:tcW w:w="120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2000</w:t>
            </w:r>
          </w:p>
        </w:tc>
        <w:tc>
          <w:tcPr>
            <w:tcW w:w="1560" w:type="dxa"/>
            <w:tcBorders>
              <w:top w:val="nil"/>
              <w:left w:val="nil"/>
              <w:bottom w:val="single" w:color="auto" w:sz="4" w:space="0"/>
              <w:right w:val="single" w:color="auto" w:sz="4" w:space="0"/>
            </w:tcBorders>
            <w:vAlign w:val="top"/>
          </w:tcPr>
          <w:p>
            <w:pPr>
              <w:widowControl/>
              <w:spacing w:line="400" w:lineRule="exact"/>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cantSplit/>
          <w:trHeight w:val="20" w:hRule="atLeast"/>
        </w:trPr>
        <w:tc>
          <w:tcPr>
            <w:tcW w:w="2093"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硕士（3年制）</w:t>
            </w:r>
          </w:p>
        </w:tc>
        <w:tc>
          <w:tcPr>
            <w:tcW w:w="120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1000</w:t>
            </w:r>
          </w:p>
        </w:tc>
        <w:tc>
          <w:tcPr>
            <w:tcW w:w="120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1000</w:t>
            </w:r>
          </w:p>
        </w:tc>
        <w:tc>
          <w:tcPr>
            <w:tcW w:w="120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1000</w:t>
            </w:r>
          </w:p>
        </w:tc>
        <w:tc>
          <w:tcPr>
            <w:tcW w:w="120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3000</w:t>
            </w:r>
          </w:p>
        </w:tc>
        <w:tc>
          <w:tcPr>
            <w:tcW w:w="1560" w:type="dxa"/>
            <w:tcBorders>
              <w:top w:val="nil"/>
              <w:left w:val="nil"/>
              <w:bottom w:val="single" w:color="auto" w:sz="4" w:space="0"/>
              <w:right w:val="single" w:color="auto" w:sz="4" w:space="0"/>
            </w:tcBorders>
            <w:vAlign w:val="top"/>
          </w:tcPr>
          <w:p>
            <w:pPr>
              <w:widowControl/>
              <w:spacing w:line="400" w:lineRule="exact"/>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cantSplit/>
          <w:trHeight w:val="20" w:hRule="atLeast"/>
        </w:trPr>
        <w:tc>
          <w:tcPr>
            <w:tcW w:w="2093"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博士</w:t>
            </w:r>
          </w:p>
        </w:tc>
        <w:tc>
          <w:tcPr>
            <w:tcW w:w="120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1500</w:t>
            </w:r>
          </w:p>
        </w:tc>
        <w:tc>
          <w:tcPr>
            <w:tcW w:w="120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1500</w:t>
            </w:r>
          </w:p>
        </w:tc>
        <w:tc>
          <w:tcPr>
            <w:tcW w:w="120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1500</w:t>
            </w:r>
          </w:p>
        </w:tc>
        <w:tc>
          <w:tcPr>
            <w:tcW w:w="120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4500</w:t>
            </w:r>
          </w:p>
        </w:tc>
        <w:tc>
          <w:tcPr>
            <w:tcW w:w="1560" w:type="dxa"/>
            <w:tcBorders>
              <w:top w:val="nil"/>
              <w:left w:val="nil"/>
              <w:bottom w:val="single" w:color="auto" w:sz="4" w:space="0"/>
              <w:right w:val="single" w:color="auto" w:sz="4" w:space="0"/>
            </w:tcBorders>
            <w:vAlign w:val="top"/>
          </w:tcPr>
          <w:p>
            <w:pPr>
              <w:widowControl/>
              <w:spacing w:line="400" w:lineRule="exact"/>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cantSplit/>
          <w:trHeight w:val="20" w:hRule="atLeast"/>
        </w:trPr>
        <w:tc>
          <w:tcPr>
            <w:tcW w:w="2093"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工程硕士（既有）</w:t>
            </w:r>
          </w:p>
        </w:tc>
        <w:tc>
          <w:tcPr>
            <w:tcW w:w="120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p>
        </w:tc>
        <w:tc>
          <w:tcPr>
            <w:tcW w:w="120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p>
        </w:tc>
        <w:tc>
          <w:tcPr>
            <w:tcW w:w="120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color w:val="FF0000"/>
                <w:kern w:val="0"/>
                <w:sz w:val="24"/>
              </w:rPr>
            </w:pPr>
            <w:r>
              <w:rPr>
                <w:rFonts w:hint="eastAsia" w:ascii="宋体" w:hAnsi="宋体" w:cs="宋体"/>
                <w:kern w:val="0"/>
                <w:sz w:val="24"/>
              </w:rPr>
              <w:t>800</w:t>
            </w:r>
          </w:p>
        </w:tc>
        <w:tc>
          <w:tcPr>
            <w:tcW w:w="120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800</w:t>
            </w:r>
          </w:p>
        </w:tc>
        <w:tc>
          <w:tcPr>
            <w:tcW w:w="1560" w:type="dxa"/>
            <w:tcBorders>
              <w:top w:val="nil"/>
              <w:left w:val="nil"/>
              <w:bottom w:val="single" w:color="auto" w:sz="4" w:space="0"/>
              <w:right w:val="single" w:color="auto" w:sz="4" w:space="0"/>
            </w:tcBorders>
            <w:vAlign w:val="top"/>
          </w:tcPr>
          <w:p>
            <w:pPr>
              <w:widowControl/>
              <w:spacing w:line="400" w:lineRule="exact"/>
              <w:jc w:val="center"/>
              <w:rPr>
                <w:rFonts w:hint="eastAsia" w:ascii="宋体" w:hAnsi="宋体" w:cs="宋体"/>
                <w:kern w:val="0"/>
                <w:sz w:val="24"/>
              </w:rPr>
            </w:pPr>
            <w:r>
              <w:rPr>
                <w:rFonts w:hint="eastAsia" w:ascii="宋体" w:hAnsi="宋体" w:cs="宋体"/>
                <w:kern w:val="0"/>
                <w:sz w:val="24"/>
              </w:rPr>
              <w:t>答辩完支付</w:t>
            </w:r>
          </w:p>
        </w:tc>
      </w:tr>
      <w:tr>
        <w:tblPrEx>
          <w:tblLayout w:type="fixed"/>
          <w:tblCellMar>
            <w:top w:w="0" w:type="dxa"/>
            <w:left w:w="108" w:type="dxa"/>
            <w:bottom w:w="0" w:type="dxa"/>
            <w:right w:w="108" w:type="dxa"/>
          </w:tblCellMar>
        </w:tblPrEx>
        <w:trPr>
          <w:cantSplit/>
          <w:trHeight w:val="20" w:hRule="atLeast"/>
        </w:trPr>
        <w:tc>
          <w:tcPr>
            <w:tcW w:w="2093"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ascii="宋体" w:hAnsi="宋体" w:cs="宋体"/>
                <w:kern w:val="0"/>
                <w:sz w:val="24"/>
              </w:rPr>
              <w:t>非全日工程硕士</w:t>
            </w:r>
          </w:p>
        </w:tc>
        <w:tc>
          <w:tcPr>
            <w:tcW w:w="120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1000</w:t>
            </w:r>
          </w:p>
        </w:tc>
        <w:tc>
          <w:tcPr>
            <w:tcW w:w="120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1000*</w:t>
            </w:r>
          </w:p>
        </w:tc>
        <w:tc>
          <w:tcPr>
            <w:tcW w:w="120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p>
        </w:tc>
        <w:tc>
          <w:tcPr>
            <w:tcW w:w="120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2000</w:t>
            </w:r>
          </w:p>
        </w:tc>
        <w:tc>
          <w:tcPr>
            <w:tcW w:w="1560" w:type="dxa"/>
            <w:tcBorders>
              <w:top w:val="nil"/>
              <w:left w:val="nil"/>
              <w:bottom w:val="single" w:color="auto" w:sz="4" w:space="0"/>
              <w:right w:val="single" w:color="auto" w:sz="4" w:space="0"/>
            </w:tcBorders>
            <w:vAlign w:val="top"/>
          </w:tcPr>
          <w:p>
            <w:pPr>
              <w:widowControl/>
              <w:spacing w:line="400" w:lineRule="exact"/>
              <w:jc w:val="center"/>
              <w:rPr>
                <w:rFonts w:hint="eastAsia" w:ascii="宋体" w:hAnsi="宋体" w:cs="宋体"/>
                <w:kern w:val="0"/>
                <w:sz w:val="24"/>
              </w:rPr>
            </w:pPr>
            <w:r>
              <w:rPr>
                <w:rFonts w:hint="eastAsia" w:ascii="宋体" w:hAnsi="宋体" w:cs="宋体"/>
                <w:kern w:val="0"/>
                <w:sz w:val="24"/>
              </w:rPr>
              <w:t>答辩完支付</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三、研究生培养经费的核拨方式</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1"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1.委培研究生的培养经费分两次拨付：第一学年先行拨付，剩余培养经费在研究生申请学位论文答辩当年拨齐。另，工程硕士（既有）的培养经费在其申请学位论文答辩完成当年一次性拨付；</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1"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2.除委培研究生外，其他研究生的培养经费按标准分年度拨付；</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1"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3.申请延期的研究生在延长期内按规定学制标准拨付培养经费；</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1"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4.研究生在保留入学资格和休学期间停止拨付培养经费。</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四、研究生培养经费的使用范围</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480" w:right="0" w:rightChars="0" w:hanging="480" w:hanging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1.与论文有关的试验、计算所必须的小额试验器材和耗材费；</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2.专业参考书刊费、资料费（含打印、复印费）；</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3.研究生参加学术会议或外出调研差旅费；</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4.研究生学术论文发表版面费、学位论文打印、印刷费；</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五、研究生培养经费的报销流程</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1"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1.办理借款或报账手续时，发票、报销单或借款单的经手人需研究生导师签字（研究生无权签字），经学院研究生教学秘书审核、下账、盖章后，由学院分管财务的领导审批、签字，再送至核算二科办理借款和报销手续。</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1"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2.学院定期对研究生培养经费的使用情况进行检查，若发现培养经费超支等违规情况，将暂停经费卡当年的使用权限，并在下一年度划拨培养经费时扣除超支部分。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六、研究生培养经费的使用期限</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研究生培养经费原则上须在研究生办理毕业手续的当年内使用完毕，学院研究生教学秘书根据研究生导师的在籍研究生人数审核导师结余培养经费，超过一年未使用完者，学院将收回其剩余部分培养经费。在此办法正式实施之前，存在部分导师所带研究生已全部毕业但仍有结余培养经费的情况，该导师须在办法实施之日起两年之内使用完毕，逾期仍未用完者，学院将收回其剩余部分培养经费。</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七、研究生论文评阅、答辩费酬金开支标准及发放办法</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1.硕士论文</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论文评阅人2人，200元/人；答辩委员会成员5人，200元/人；答辩委员会秘书1人，70元/人，合计1470元。</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2.博士论文</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论文评阅人3人，400元/人；答辩委员会成员5-7人，400元/人；答辩委员会秘书1人，70元/人，合计3270-4070元。</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3.答辩酬金发放</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校内人员酬金纳入学院年度绩效统一归口管理，由学院统筹安排，集中发放；校外人员酬金由各系统计造表，学院统一支付，实时发放。</w:t>
      </w:r>
    </w:p>
    <w:p>
      <w:pPr>
        <w:keepNext w:val="0"/>
        <w:keepLines w:val="0"/>
        <w:pageBreakBefore w:val="0"/>
        <w:widowControl w:val="0"/>
        <w:kinsoku/>
        <w:wordWrap/>
        <w:overflowPunct/>
        <w:topLinePunct w:val="0"/>
        <w:autoSpaceDE/>
        <w:autoSpaceDN/>
        <w:bidi w:val="0"/>
        <w:adjustRightInd/>
        <w:snapToGrid/>
        <w:spacing w:before="157" w:beforeLines="50" w:line="52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八、本规定由学院党政联席会议负责解释，自2017年5月1日起施行。</w:t>
      </w:r>
    </w:p>
    <w:p>
      <w:pPr>
        <w:keepNext w:val="0"/>
        <w:keepLines w:val="0"/>
        <w:pageBreakBefore w:val="0"/>
        <w:kinsoku/>
        <w:wordWrap/>
        <w:overflowPunct/>
        <w:topLinePunct w:val="0"/>
        <w:autoSpaceDE/>
        <w:autoSpaceDN/>
        <w:bidi w:val="0"/>
        <w:adjustRightInd/>
        <w:spacing w:line="520" w:lineRule="exact"/>
        <w:ind w:right="0" w:rightChars="0"/>
        <w:textAlignment w:val="auto"/>
        <w:outlineLvl w:val="9"/>
        <w:rPr>
          <w:rFonts w:hint="eastAsia" w:ascii="黑体" w:hAnsi="黑体" w:eastAsia="黑体" w:cs="黑体"/>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武汉大学土木建筑工程学院</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2017年4月28日</w:t>
      </w:r>
    </w:p>
    <w:p>
      <w:pPr>
        <w:spacing w:line="380" w:lineRule="exact"/>
        <w:rPr>
          <w:rFonts w:hint="eastAsia" w:ascii="仿宋" w:hAnsi="仿宋" w:eastAsia="仿宋" w:cs="仿宋"/>
          <w:sz w:val="32"/>
          <w:szCs w:val="32"/>
          <w:lang w:val="en-US" w:eastAsia="zh-CN"/>
        </w:rPr>
      </w:pPr>
    </w:p>
    <w:p>
      <w:pPr>
        <w:spacing w:line="380" w:lineRule="exact"/>
        <w:rPr>
          <w:rFonts w:hint="eastAsia" w:ascii="仿宋" w:hAnsi="仿宋" w:eastAsia="仿宋" w:cs="仿宋"/>
          <w:sz w:val="32"/>
          <w:szCs w:val="32"/>
          <w:lang w:val="en-US" w:eastAsia="zh-CN"/>
        </w:rPr>
      </w:pPr>
    </w:p>
    <w:p>
      <w:pPr>
        <w:spacing w:line="380" w:lineRule="exact"/>
        <w:rPr>
          <w:rFonts w:hint="eastAsia" w:ascii="仿宋" w:hAnsi="仿宋" w:eastAsia="仿宋" w:cs="仿宋"/>
          <w:sz w:val="32"/>
          <w:szCs w:val="32"/>
          <w:lang w:val="en-US" w:eastAsia="zh-CN"/>
        </w:rPr>
      </w:pPr>
    </w:p>
    <w:p>
      <w:pPr>
        <w:pBdr>
          <w:bottom w:val="single" w:color="auto" w:sz="6" w:space="1"/>
          <w:between w:val="single" w:color="auto" w:sz="6" w:space="1"/>
        </w:pBdr>
        <w:spacing w:line="380" w:lineRule="exact"/>
        <w:rPr>
          <w:rFonts w:hint="eastAsia" w:ascii="仿宋" w:hAnsi="仿宋" w:eastAsia="仿宋" w:cs="仿宋"/>
          <w:sz w:val="28"/>
          <w:szCs w:val="28"/>
        </w:rPr>
      </w:pPr>
    </w:p>
    <w:p>
      <w:pPr>
        <w:pBdr>
          <w:bottom w:val="single" w:color="auto" w:sz="6" w:space="1"/>
          <w:between w:val="single" w:color="auto" w:sz="6" w:space="1"/>
        </w:pBdr>
        <w:spacing w:line="380" w:lineRule="exact"/>
      </w:pPr>
      <w:r>
        <w:rPr>
          <w:rFonts w:hint="eastAsia" w:ascii="仿宋" w:hAnsi="仿宋" w:eastAsia="仿宋" w:cs="仿宋"/>
          <w:color w:val="auto"/>
          <w:sz w:val="28"/>
          <w:szCs w:val="28"/>
        </w:rPr>
        <w:t xml:space="preserve">武汉大学土木建筑工程学院党政办公室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2017年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日印发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Microsoft Sans Serif">
    <w:panose1 w:val="020B0604020202020204"/>
    <w:charset w:val="00"/>
    <w:family w:val="swiss"/>
    <w:pitch w:val="default"/>
    <w:sig w:usb0="E1002AFF" w:usb1="C0000002" w:usb2="00000008"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Agency FB">
    <w:panose1 w:val="020B0503020202020204"/>
    <w:charset w:val="00"/>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Baskerville Old Face">
    <w:panose1 w:val="020206020805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UPC">
    <w:panose1 w:val="020B0604020202020204"/>
    <w:charset w:val="00"/>
    <w:family w:val="auto"/>
    <w:pitch w:val="default"/>
    <w:sig w:usb0="81000003" w:usb1="00000000" w:usb2="00000000" w:usb3="00000000" w:csb0="00010001" w:csb1="00000000"/>
  </w:font>
  <w:font w:name="Brush Script MT">
    <w:panose1 w:val="03060802040406070304"/>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6761B"/>
    <w:rsid w:val="359676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jc w:val="left"/>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2017-06-09T02:51:00Z</dcterms:created>
  <dc:creator>Administrator</dc:creator>
  <cp:lastModifiedBy>Administrator</cp:lastModifiedBy>
  <dcterms:modified xsi:type="dcterms:W3CDTF">2017-06-09T02:52:13Z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